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A86" w:rsidRDefault="000F3A86" w:rsidP="000F3A86">
      <w:r>
        <w:t>VRAAG</w:t>
      </w:r>
    </w:p>
    <w:p w:rsidR="000F3A86" w:rsidRDefault="000F3A86" w:rsidP="000F3A86"/>
    <w:p w:rsidR="000F3A86" w:rsidRDefault="000F3A86" w:rsidP="000F3A86">
      <w:pPr>
        <w:pStyle w:val="Normaalweb"/>
        <w:spacing w:before="0" w:beforeAutospacing="0" w:after="150" w:afterAutospacing="0"/>
        <w:jc w:val="both"/>
        <w:rPr>
          <w:rFonts w:ascii="Segoe UI" w:hAnsi="Segoe UI" w:cs="Segoe UI"/>
          <w:color w:val="444444"/>
          <w:sz w:val="29"/>
          <w:szCs w:val="29"/>
        </w:rPr>
      </w:pPr>
      <w:r>
        <w:rPr>
          <w:rFonts w:ascii="Segoe UI" w:hAnsi="Segoe UI" w:cs="Segoe UI"/>
          <w:color w:val="444444"/>
          <w:sz w:val="29"/>
          <w:szCs w:val="29"/>
        </w:rPr>
        <w:t>Mijnheer de minister,</w:t>
      </w:r>
    </w:p>
    <w:p w:rsidR="000F3A86" w:rsidRDefault="000F3A86" w:rsidP="000F3A86">
      <w:pPr>
        <w:pStyle w:val="Normaalweb"/>
        <w:spacing w:before="0" w:beforeAutospacing="0" w:after="150" w:afterAutospacing="0"/>
        <w:jc w:val="both"/>
        <w:rPr>
          <w:rFonts w:ascii="Segoe UI" w:hAnsi="Segoe UI" w:cs="Segoe UI"/>
          <w:color w:val="444444"/>
          <w:sz w:val="29"/>
          <w:szCs w:val="29"/>
        </w:rPr>
      </w:pPr>
      <w:r>
        <w:rPr>
          <w:rFonts w:ascii="Segoe UI" w:hAnsi="Segoe UI" w:cs="Segoe UI"/>
          <w:color w:val="444444"/>
          <w:sz w:val="29"/>
          <w:szCs w:val="29"/>
        </w:rPr>
        <w:t>Er is een speciale taskforce opgericht om maatregelen te nemen ten aanzien van de meest kwetsbaren in onze samenleving die ook sterk te kampen hebben met negatieve gevolgen van het coronavirus. Intussen is deze taskforce sociale hoogdringendheid al een paar keer bijeengekomen. Vanuit een consultatieve groep waarin middenveldorganisaties zetelen worden heel wat fiches met aanbevelingen aangereikt, maar kunnen slechts een beperkt aantal aanbevelingen per vergadering doorgestuurd worden naar de politieke groep.</w:t>
      </w:r>
    </w:p>
    <w:p w:rsidR="000F3A86" w:rsidRDefault="000F3A86" w:rsidP="000F3A86">
      <w:pPr>
        <w:pStyle w:val="Normaalweb"/>
        <w:spacing w:before="0" w:beforeAutospacing="0" w:after="150" w:afterAutospacing="0"/>
        <w:jc w:val="both"/>
        <w:rPr>
          <w:rFonts w:ascii="Segoe UI" w:hAnsi="Segoe UI" w:cs="Segoe UI"/>
          <w:color w:val="444444"/>
          <w:sz w:val="29"/>
          <w:szCs w:val="29"/>
        </w:rPr>
      </w:pPr>
      <w:r>
        <w:rPr>
          <w:rFonts w:ascii="Segoe UI" w:hAnsi="Segoe UI" w:cs="Segoe UI"/>
          <w:color w:val="444444"/>
          <w:sz w:val="29"/>
          <w:szCs w:val="29"/>
        </w:rPr>
        <w:t>In dat kader heb ik de volgende vragen:</w:t>
      </w:r>
    </w:p>
    <w:p w:rsidR="000F3A86" w:rsidRDefault="000F3A86" w:rsidP="000F3A86">
      <w:pPr>
        <w:pStyle w:val="Normaalweb"/>
        <w:spacing w:before="0" w:beforeAutospacing="0" w:after="150" w:afterAutospacing="0"/>
        <w:jc w:val="both"/>
        <w:rPr>
          <w:rFonts w:ascii="Segoe UI" w:hAnsi="Segoe UI" w:cs="Segoe UI"/>
          <w:color w:val="444444"/>
          <w:sz w:val="29"/>
          <w:szCs w:val="29"/>
        </w:rPr>
      </w:pPr>
      <w:r>
        <w:rPr>
          <w:rFonts w:ascii="Segoe UI" w:hAnsi="Segoe UI" w:cs="Segoe UI"/>
          <w:color w:val="444444"/>
          <w:sz w:val="29"/>
          <w:szCs w:val="29"/>
        </w:rPr>
        <w:t>- Ontvangen jullie in de politieke groep ook de andere fiches met aanbevelingen? Indien wel, wat gebeurt daarmee? Worden die behandeld? Wat gebeurt er met diegene die niet worden behandeld? Komen deze in een latere fase nog aan bod?</w:t>
      </w:r>
    </w:p>
    <w:p w:rsidR="000F3A86" w:rsidRDefault="000F3A86" w:rsidP="000F3A86">
      <w:pPr>
        <w:pStyle w:val="Normaalweb"/>
        <w:spacing w:before="0" w:beforeAutospacing="0" w:after="150" w:afterAutospacing="0"/>
        <w:jc w:val="both"/>
        <w:rPr>
          <w:rFonts w:ascii="Segoe UI" w:hAnsi="Segoe UI" w:cs="Segoe UI"/>
          <w:color w:val="444444"/>
          <w:sz w:val="29"/>
          <w:szCs w:val="29"/>
        </w:rPr>
      </w:pPr>
      <w:r>
        <w:rPr>
          <w:rFonts w:ascii="Segoe UI" w:hAnsi="Segoe UI" w:cs="Segoe UI"/>
          <w:color w:val="444444"/>
          <w:sz w:val="29"/>
          <w:szCs w:val="29"/>
        </w:rPr>
        <w:t>- Er bestaat een opvolgingstabel waarin aangegeven wordt welke maatregelen genomen zullen worden of wat de stand van zaken van een bepaalde maatregel is. De middenveldorganisaties berichten mij dat het voor hen heel onduidelijk is wat er nu precies gebeurd is met die drie aanbevelingen die na elke vergadering vanuit de consultatieve groep worden doorgestuurd en welke beslissingen daarover genomen zijn. Is het mogelijk om duidelijker naar de consultatieve groep terug te koppelen?</w:t>
      </w:r>
    </w:p>
    <w:p w:rsidR="000F3A86" w:rsidRDefault="000F3A86" w:rsidP="000F3A86">
      <w:pPr>
        <w:pStyle w:val="Normaalweb"/>
        <w:spacing w:before="0" w:beforeAutospacing="0" w:after="150" w:afterAutospacing="0"/>
        <w:jc w:val="both"/>
        <w:rPr>
          <w:rFonts w:ascii="Segoe UI" w:hAnsi="Segoe UI" w:cs="Segoe UI"/>
          <w:color w:val="444444"/>
          <w:sz w:val="29"/>
          <w:szCs w:val="29"/>
        </w:rPr>
      </w:pPr>
      <w:r>
        <w:rPr>
          <w:rFonts w:ascii="Segoe UI" w:hAnsi="Segoe UI" w:cs="Segoe UI"/>
          <w:color w:val="444444"/>
          <w:sz w:val="29"/>
          <w:szCs w:val="29"/>
        </w:rPr>
        <w:t>- Aan welke aanbevelingen heeft de Taskforce en naderhand de regering al gevolg gegeven? En welke aanbevelingen zullen binnenkort opvolging krijgen.  Graag een overzicht.</w:t>
      </w:r>
      <w:r>
        <w:rPr>
          <w:rStyle w:val="apple-converted-space"/>
          <w:rFonts w:ascii="Segoe UI" w:hAnsi="Segoe UI" w:cs="Segoe UI"/>
          <w:color w:val="444444"/>
          <w:sz w:val="29"/>
          <w:szCs w:val="29"/>
        </w:rPr>
        <w:t> </w:t>
      </w:r>
    </w:p>
    <w:p w:rsidR="000F3A86" w:rsidRDefault="000F3A86" w:rsidP="000F3A86">
      <w:pPr>
        <w:pStyle w:val="Normaalweb"/>
        <w:spacing w:before="0" w:beforeAutospacing="0" w:after="150" w:afterAutospacing="0"/>
        <w:jc w:val="both"/>
        <w:rPr>
          <w:rFonts w:ascii="Segoe UI" w:hAnsi="Segoe UI" w:cs="Segoe UI"/>
          <w:color w:val="444444"/>
          <w:sz w:val="29"/>
          <w:szCs w:val="29"/>
        </w:rPr>
      </w:pPr>
      <w:r>
        <w:rPr>
          <w:rFonts w:ascii="Segoe UI" w:hAnsi="Segoe UI" w:cs="Segoe UI"/>
          <w:color w:val="444444"/>
          <w:sz w:val="29"/>
          <w:szCs w:val="29"/>
        </w:rPr>
        <w:t>Ik dank u alvast voor uw antwoord.</w:t>
      </w:r>
      <w:r>
        <w:rPr>
          <w:color w:val="444444"/>
          <w:sz w:val="29"/>
          <w:szCs w:val="29"/>
        </w:rPr>
        <w:t>​</w:t>
      </w:r>
    </w:p>
    <w:p w:rsidR="000F3A86" w:rsidRDefault="000F3A86" w:rsidP="000F3A86"/>
    <w:p w:rsidR="000F3A86" w:rsidRDefault="000F3A86" w:rsidP="000F3A86"/>
    <w:p w:rsidR="000F3A86" w:rsidRDefault="000F3A86" w:rsidP="000F3A86"/>
    <w:p w:rsidR="000F3A86" w:rsidRDefault="000F3A86" w:rsidP="000F3A86"/>
    <w:p w:rsidR="000F3A86" w:rsidRDefault="000F3A86" w:rsidP="000F3A86"/>
    <w:p w:rsidR="000F3A86" w:rsidRDefault="000F3A86" w:rsidP="000F3A86"/>
    <w:p w:rsidR="000F3A86" w:rsidRDefault="000F3A86" w:rsidP="000F3A86"/>
    <w:p w:rsidR="000F3A86" w:rsidRDefault="000F3A86" w:rsidP="000F3A86">
      <w:pPr>
        <w:pStyle w:val="Normaalweb"/>
      </w:pPr>
      <w:r>
        <w:t>ANTWOORD</w:t>
      </w:r>
    </w:p>
    <w:p w:rsidR="000F3A86" w:rsidRDefault="000F3A86" w:rsidP="000F3A86">
      <w:pPr>
        <w:pStyle w:val="Normaalweb"/>
      </w:pPr>
      <w:r>
        <w:rPr>
          <w:rFonts w:ascii="ArialMT" w:hAnsi="ArialMT"/>
          <w:sz w:val="20"/>
          <w:szCs w:val="20"/>
        </w:rPr>
        <w:lastRenderedPageBreak/>
        <w:t xml:space="preserve">Om de sociale dringendheid te identificeren en er een antwoord op te formuleren, heb ik inderdaad de taskforce Kwetsbare Groepen opgericht, in samenwerking met ministers Muylle en De Block. Deze taskforce wordt gevoed door een overleggroep die bestaat uit organisaties uit het veld, via coördinatiekanalen zoals de dienst Armoedebestrijding, de Nationale Hoge Raad voor Personen met een Handicap en het Instituut voor de gelijkheid van vrouwen en mannen, ondersteund door het Belgisch Netwerk Armoedebestrijding en de vereniging van OCMW's. Deze uitwisselingen met het veld hebben toegelaten de groepen te identificeren die naar aanleiding van de pandemie bijvoorbeeld ten laste moeten worden genomen door de OCMW's, interimaire werkers, mensen met een flexi-job, studenten, mensen met een beperking, daklozen, mensen met een precair verblijfsstatuut of artiesten en sommige zelfstandigen. Alle voorstellen geformuleerd door de overleggroep werden aan de taskforce bezorgd. </w:t>
      </w:r>
    </w:p>
    <w:p w:rsidR="000F3A86" w:rsidRDefault="000F3A86" w:rsidP="000F3A86">
      <w:pPr>
        <w:pStyle w:val="Normaalweb"/>
      </w:pPr>
      <w:r>
        <w:rPr>
          <w:rFonts w:ascii="ArialMT" w:hAnsi="ArialMT"/>
          <w:sz w:val="20"/>
          <w:szCs w:val="20"/>
        </w:rPr>
        <w:t xml:space="preserve">À l'instar des différents ministres fédéraux compétents, les ministres des entités fédérées peuvent ainsi évaluer les besoins et préparer les mesures répondant à ces problématiques particulières. En effet, les Régions disposent d'importants leviers en la matière. Je ne doute donc pas que, comme le fédéral, elles prendront un certain nombre de mesures complémentaires sur le plan social. </w:t>
      </w:r>
    </w:p>
    <w:p w:rsidR="000F3A86" w:rsidRDefault="000F3A86" w:rsidP="000F3A86">
      <w:pPr>
        <w:pStyle w:val="Normaalweb"/>
      </w:pPr>
      <w:r>
        <w:rPr>
          <w:rFonts w:ascii="ArialMT" w:hAnsi="ArialMT"/>
          <w:sz w:val="20"/>
          <w:szCs w:val="20"/>
        </w:rPr>
        <w:t xml:space="preserve">Certes, le focus est fort mis sur le fédéral. Cependant, ce n'est pas à lui de prendre en charge l'ensemble de la problématique, même s'il a dégagé 200 millions d'euros. Vous qui êtes des spécialistes, qui êtes des parlementaires, qui êtes des politiques, vous savez que le niveau régional a énormément de leviers en termes de social. Il s'agira donc aussi de voir nos Régions s'engager avec la même force que le fédéral sur ces questions. J'imagine qu'elles apporteront un certain nombre de réponses, qui pourront accompagner l'action du fédéral, des communes et des CPAS. Il est vraiment important que l'action et la solidarité viennent de concert. </w:t>
      </w:r>
    </w:p>
    <w:p w:rsidR="000F3A86" w:rsidRDefault="000F3A86" w:rsidP="000F3A86">
      <w:pPr>
        <w:pStyle w:val="Normaalweb"/>
      </w:pPr>
      <w:r>
        <w:rPr>
          <w:rFonts w:ascii="ArialMT" w:hAnsi="ArialMT"/>
          <w:sz w:val="20"/>
          <w:szCs w:val="20"/>
        </w:rPr>
        <w:t xml:space="preserve">Les mesures sont adoptées afin de répondre le plus rapidement possible aux problèmes qui se présentent. Dès lors, le calendrier de mise en œuvre des mesures est progressif. Nous restons attentifs à l'évolution de la situation, qui reste incertaine. Nous sommes, et je suis personnellement également en contact très régulier avec Céline Nieuwenhuys, relais au sein du GEES. (...) </w:t>
      </w:r>
    </w:p>
    <w:p w:rsidR="000F3A86" w:rsidRDefault="000F3A86" w:rsidP="000F3A86">
      <w:pPr>
        <w:pStyle w:val="Normaalweb"/>
      </w:pPr>
      <w:r>
        <w:rPr>
          <w:rFonts w:ascii="ArialMT" w:hAnsi="ArialMT"/>
          <w:sz w:val="20"/>
          <w:szCs w:val="20"/>
        </w:rPr>
        <w:t xml:space="preserve">Mevrouw Lanjri, ik kan u bevestigen dat de exitstrategie ook met de organisatie in het veld in de taskforce werd besproken. </w:t>
      </w:r>
    </w:p>
    <w:p w:rsidR="000F3A86" w:rsidRDefault="000F3A86" w:rsidP="000F3A86">
      <w:pPr>
        <w:pStyle w:val="Normaalweb"/>
      </w:pPr>
      <w:r>
        <w:rPr>
          <w:rFonts w:ascii="ArialMT" w:hAnsi="ArialMT"/>
          <w:sz w:val="20"/>
          <w:szCs w:val="20"/>
        </w:rPr>
        <w:t xml:space="preserve">De POD Maatschappelijke Integratie heeft samen met de federaties van OCMW's bepaald volgens welke modaliteiten de OCMW's hun steunactiviteiten kunnen hervatten. </w:t>
      </w:r>
    </w:p>
    <w:p w:rsidR="000F3A86" w:rsidRDefault="000F3A86" w:rsidP="000F3A86">
      <w:pPr>
        <w:pStyle w:val="Normaalweb"/>
      </w:pPr>
      <w:r>
        <w:rPr>
          <w:rFonts w:ascii="ArialMT" w:hAnsi="ArialMT"/>
          <w:sz w:val="20"/>
          <w:szCs w:val="20"/>
        </w:rPr>
        <w:t xml:space="preserve">Het dieptepunt van de gezondheidscrisis ligt gelukkig achter ons; dat hopen wij althans. </w:t>
      </w:r>
    </w:p>
    <w:p w:rsidR="000F3A86" w:rsidRDefault="000F3A86" w:rsidP="000F3A86">
      <w:pPr>
        <w:pStyle w:val="Normaalweb"/>
      </w:pPr>
      <w:r>
        <w:rPr>
          <w:rFonts w:ascii="ArialMT" w:hAnsi="ArialMT"/>
          <w:sz w:val="20"/>
          <w:szCs w:val="20"/>
        </w:rPr>
        <w:t xml:space="preserve">Mais cette crise aura encore longtemps des répercussions sociales importantes sur un grand nombre de personnes. Ce que nous voyons aujourd'hui est sans doute uniquement le sommet de l'iceberg. Nous devrons rester mobilisés sur la question sociale au cours des semaines et mois qui viennent. Avec un risque de diminution du PIB situé entre 9 et 10 %, il y aura des répercussions sociales. Au niveau fédéral, nous avons anticipé en prenant des mesures, mais nous devrons rester en contact avec les CPAS et les acteurs sociaux afin d'évaluer la situation et d'être au plus près des besoins, pour faire face, le cas échéant, à une augmentation de ceux-ci. </w:t>
      </w:r>
    </w:p>
    <w:p w:rsidR="000F3A86" w:rsidRDefault="000F3A86" w:rsidP="000F3A86">
      <w:pPr>
        <w:pStyle w:val="Normaalweb"/>
      </w:pPr>
      <w:r>
        <w:rPr>
          <w:rFonts w:ascii="ArialMT" w:hAnsi="ArialMT"/>
          <w:sz w:val="20"/>
          <w:szCs w:val="20"/>
        </w:rPr>
        <w:t xml:space="preserve">Il importe également d'amplifier le soutien aux étudiants en cette période particulièrement difficile. Bon nombre de parlementaires ont d'ailleurs posé des questions à ce sujet. Les étudiants jobistes ont été recensés comme un groupe prioritaire par la task force chargée d'évaluer l'impact de la crise du COVID-19 sur les groupes vulnérables. </w:t>
      </w:r>
    </w:p>
    <w:p w:rsidR="000F3A86" w:rsidRDefault="000F3A86" w:rsidP="000F3A86">
      <w:pPr>
        <w:pStyle w:val="Normaalweb"/>
      </w:pPr>
      <w:r>
        <w:rPr>
          <w:rFonts w:ascii="ArialMT" w:hAnsi="ArialMT"/>
          <w:sz w:val="20"/>
          <w:szCs w:val="20"/>
        </w:rPr>
        <w:t xml:space="preserve">In dit kader kon ik het plafond verhogen van de sociale professionele vrijstelling voor beursstudenten, dit voor de duur van de uitzonderlijke maatregelen inzake tijdelijke werkloosheid. </w:t>
      </w:r>
    </w:p>
    <w:p w:rsidR="000F3A86" w:rsidRDefault="000F3A86" w:rsidP="000F3A86">
      <w:pPr>
        <w:pStyle w:val="Normaalweb"/>
      </w:pPr>
      <w:r>
        <w:rPr>
          <w:rFonts w:ascii="ArialMT" w:hAnsi="ArialMT"/>
          <w:sz w:val="20"/>
          <w:szCs w:val="20"/>
        </w:rPr>
        <w:t xml:space="preserve">Je souhaite également souligner que les CPAS se sont organisés pour traiter les demande d'aide dans les temps, malgré la crise. Avec le SPF Intégration sociale, nous avons veillé à rester au plus près des besoins des CPAS même pendant la crise. Ils ne sont donc pas restés confinés et ont été actifs. </w:t>
      </w:r>
    </w:p>
    <w:p w:rsidR="000F3A86" w:rsidRDefault="000F3A86" w:rsidP="000F3A86">
      <w:pPr>
        <w:pStyle w:val="Normaalweb"/>
      </w:pPr>
      <w:r>
        <w:rPr>
          <w:rFonts w:ascii="ArialMT" w:hAnsi="ArialMT"/>
          <w:sz w:val="20"/>
          <w:szCs w:val="20"/>
        </w:rPr>
        <w:lastRenderedPageBreak/>
        <w:t xml:space="preserve">En ce qui concerne les répercussions auprès des débiteurs alimentaires, la législation en vigueur est souple et permet aux CPAS de prendre en compte la situation financière des débiteurs d'aliments et les implications familiales qui y sont liées. </w:t>
      </w:r>
    </w:p>
    <w:p w:rsidR="000F3A86" w:rsidRDefault="000F3A86" w:rsidP="000F3A86">
      <w:pPr>
        <w:pStyle w:val="Normaalweb"/>
      </w:pPr>
      <w:r>
        <w:rPr>
          <w:rFonts w:ascii="ArialMT" w:hAnsi="ArialMT"/>
          <w:sz w:val="20"/>
          <w:szCs w:val="20"/>
        </w:rPr>
        <w:t xml:space="preserve">De sociale impact van de COVID-19-crisis heeft zich al laten voelen. De vrees bestaat dat de sociale gevolgen de komende maanden erger zullen worden. </w:t>
      </w:r>
    </w:p>
    <w:p w:rsidR="000F3A86" w:rsidRDefault="000F3A86" w:rsidP="000F3A86">
      <w:pPr>
        <w:pStyle w:val="Normaalweb"/>
      </w:pPr>
      <w:r>
        <w:rPr>
          <w:rFonts w:ascii="ArialMT" w:hAnsi="ArialMT"/>
          <w:sz w:val="20"/>
          <w:szCs w:val="20"/>
        </w:rPr>
        <w:t xml:space="preserve">Om de directe impact voor de gezinnen die een deel van hun inkomsten verloren hebben of voor wie de levenskosten hoger zijn geworden, bijvoorbeeld door de extra uitgaven voor de kinderen, te verzachten, heb ik het akkoord van de regering verkregen om een subsidie van 15 miljoen euro toe te kennen aan de OCMW's. </w:t>
      </w:r>
    </w:p>
    <w:p w:rsidR="000F3A86" w:rsidRDefault="000F3A86" w:rsidP="000F3A86">
      <w:pPr>
        <w:pStyle w:val="Normaalweb"/>
      </w:pPr>
      <w:r>
        <w:rPr>
          <w:rFonts w:ascii="ArialMT" w:hAnsi="ArialMT"/>
          <w:sz w:val="20"/>
          <w:szCs w:val="20"/>
        </w:rPr>
        <w:t xml:space="preserve">Het is nog te vroeg om precieze cijfers te geven, maar wij stellen inderdaad een toename inzake sociale hulp vast. De POD Maatschappelijke Integratie heeft met de OCMW's een nauwgezette monitoring opgezet om de evolutie van het aantal aanvragen bij de OCMW's te kunnen volgen. </w:t>
      </w:r>
    </w:p>
    <w:p w:rsidR="000F3A86" w:rsidRDefault="000F3A86" w:rsidP="000F3A86">
      <w:pPr>
        <w:pStyle w:val="Normaalweb"/>
      </w:pPr>
      <w:r>
        <w:rPr>
          <w:rFonts w:ascii="ArialMT" w:hAnsi="ArialMT"/>
          <w:sz w:val="20"/>
          <w:szCs w:val="20"/>
        </w:rPr>
        <w:t xml:space="preserve">Ainsi, le montant du subside pour les CPAS a été estimé à partir de leurs dépenses totales en matière d'aide sociale complémentaire sur base des données livrées par les fédérations de CPAS et des données de Belfius. Ce subside est de 176 millions pour une année. Le montant supplémentaire de 15 millions pris en charge par le fédéral a été estimé suite à une hausse de 30 % des demandes pendant trois mois sur base des premiers éléments issus du monitoring mis en place par le SPP Intégration sociale. </w:t>
      </w:r>
    </w:p>
    <w:p w:rsidR="000F3A86" w:rsidRDefault="000F3A86" w:rsidP="000F3A86">
      <w:pPr>
        <w:pStyle w:val="Normaalweb"/>
      </w:pPr>
      <w:r>
        <w:rPr>
          <w:rFonts w:ascii="ArialMT" w:hAnsi="ArialMT"/>
          <w:sz w:val="20"/>
          <w:szCs w:val="20"/>
        </w:rPr>
        <w:t xml:space="preserve">Ce budget de 15 millions a été réparti entre les CPAS selon une clé de répartition habituelle. Cette clé prend en compte le niveau de pauvreté dans la commune et est déjà utilisée dans le cadre de la participation et l'activation sociale: 75 % de personnes bénéficiant du revenu d'intégration et de l'équivalent RIS et 25 % de bénéficiaires de l'intervention majorée (statut BIM). </w:t>
      </w:r>
    </w:p>
    <w:p w:rsidR="000F3A86" w:rsidRDefault="000F3A86" w:rsidP="000F3A86">
      <w:pPr>
        <w:pStyle w:val="Normaalweb"/>
      </w:pPr>
      <w:r>
        <w:rPr>
          <w:rFonts w:ascii="ArialMT" w:hAnsi="ArialMT"/>
          <w:sz w:val="20"/>
          <w:szCs w:val="20"/>
        </w:rPr>
        <w:t xml:space="preserve">Nous travaillons sur base de méthodes de répartition qui ont déjà été éprouvées régulièrement. </w:t>
      </w:r>
    </w:p>
    <w:p w:rsidR="000F3A86" w:rsidRDefault="000F3A86" w:rsidP="000F3A86">
      <w:pPr>
        <w:pStyle w:val="Normaalweb"/>
      </w:pPr>
      <w:r>
        <w:rPr>
          <w:rFonts w:ascii="ArialMT" w:hAnsi="ArialMT"/>
          <w:sz w:val="20"/>
          <w:szCs w:val="20"/>
        </w:rPr>
        <w:t xml:space="preserve">Deze subsidie laat de OCMW's toe tussen te komen voor allerlei soorten vragen om incidentele steun. Ik denk aan materiële, sociale, medische, medisch-sociale of psychologische hulp. Deze hulp kan bijdragen aan de ondersteuning van mensen, om te voorkomen dat zij op die manier terechtkomen in een spiraal van overmatige schulden en armoede. Zoals ik al zei, werd monitoring ingevoerd om de situatie te verfijnen en snel te reageren wanneer de noden zouden toenemen. </w:t>
      </w:r>
    </w:p>
    <w:p w:rsidR="000F3A86" w:rsidRDefault="000F3A86" w:rsidP="000F3A86">
      <w:pPr>
        <w:pStyle w:val="Normaalweb"/>
      </w:pPr>
    </w:p>
    <w:p w:rsidR="000F3A86" w:rsidRDefault="000F3A86" w:rsidP="000F3A86">
      <w:pPr>
        <w:pStyle w:val="Normaalweb"/>
      </w:pPr>
      <w:r>
        <w:t>REPLIEK NAHIMA</w:t>
      </w:r>
    </w:p>
    <w:p w:rsidR="000F3A86" w:rsidRDefault="000F3A86" w:rsidP="000F3A86">
      <w:pPr>
        <w:pStyle w:val="Normaalweb"/>
      </w:pPr>
      <w:r>
        <w:rPr>
          <w:rFonts w:ascii="ArialMT" w:hAnsi="ArialMT"/>
          <w:sz w:val="20"/>
          <w:szCs w:val="20"/>
        </w:rPr>
        <w:t xml:space="preserve">Daarnaast wil ik erop aandringen dat er nu al gekeken wordt naar extra middelen op middellange termijn. Wij hebben altijd gestreefd naar het optrekken van de uitkeringen tot boven de armoedegrens en dat objectief moet behouden blijven. De tot nu toe genomen initiatieven zijn nodig in het kader van de coronacrisis, maar op lange termijn moeten de uitkeringen tot boven de armoedegrens opgetrokken worden. Voor CD&amp;V moet dat opnieuw in het regeerakkoord staan en vooral ook uitgevoerd worden. </w:t>
      </w:r>
    </w:p>
    <w:p w:rsidR="000F3A86" w:rsidRDefault="000F3A86" w:rsidP="000F3A86">
      <w:pPr>
        <w:pStyle w:val="Normaalweb"/>
      </w:pPr>
      <w:r>
        <w:rPr>
          <w:rFonts w:ascii="ArialMT" w:hAnsi="ArialMT"/>
          <w:sz w:val="20"/>
          <w:szCs w:val="20"/>
        </w:rPr>
        <w:t xml:space="preserve">De taskforce is volgens mij een belangrijk instrument geweest om het middenveld te betrekken bij het beleid dat in het kader van de coronapandemie gevoerd moest worden. Via mijn vragen heb ik erop gewezen dat er een en ander misliep. Zo heeft de consultatieve groep heel mooie maatregelen voorgesteld, maar daar is te weinig feedback op gekomen. Ik heb nu begrepen dat het de bedoeling is om in de toekomst veel meer terug te koppelen en ook voor een betere informatiedoorstroming te zorgen. Ik neem aan dat u er ook voor zult zorgen dat er iets van op papier komt. Zo kan duidelijk worden welke van de voorgestelde maatregelen reeds uitgevoerd werden en welke voorstellen eerder als structurele maatregelen op middellange termijn uitgevoerd moeten worden, eventueel voor een stuk door te schuiven naar een volgende regering. </w:t>
      </w:r>
    </w:p>
    <w:p w:rsidR="000F3A86" w:rsidRDefault="000F3A86" w:rsidP="000F3A86">
      <w:pPr>
        <w:pStyle w:val="Normaalweb"/>
      </w:pPr>
      <w:r>
        <w:rPr>
          <w:rFonts w:ascii="ArialMT" w:hAnsi="ArialMT"/>
          <w:sz w:val="20"/>
          <w:szCs w:val="20"/>
        </w:rPr>
        <w:lastRenderedPageBreak/>
        <w:t xml:space="preserve">Het is beter dat dit gezegd wordt en duidelijk is, zodat de mensen op het terrein weten dat de inspanningen die zij gedaan hebben, samen met heel veel mensen uit de sector, niet voor niets zijn geweest, dat zij input hebben kunnen geven. </w:t>
      </w:r>
    </w:p>
    <w:p w:rsidR="000F3A86" w:rsidRDefault="000F3A86" w:rsidP="000F3A86">
      <w:pPr>
        <w:pStyle w:val="Normaalweb"/>
      </w:pPr>
      <w:r>
        <w:rPr>
          <w:rFonts w:ascii="ArialMT" w:hAnsi="ArialMT"/>
          <w:sz w:val="20"/>
          <w:szCs w:val="20"/>
        </w:rPr>
        <w:t xml:space="preserve">Mijnheer de minister, ik blijf erop aandringen dat het belangrijk is dat bij de taskforce ook mensen van op het terrein betrokken worden wanneer bepaalde onderwerpen besproken worden. Ik begrijp absoluut dat een werkgroep met 40 of 60 deelnemers niet haalbaar is, maar men kan wel bepaalde experts ad hoc uitnodigen. Als het gaat over daklozen, kan men best op dat moment de mensen van het terrein uitnodigen die bezig zijn met daklozenwerking. </w:t>
      </w:r>
    </w:p>
    <w:p w:rsidR="000F3A86" w:rsidRDefault="000F3A86" w:rsidP="000F3A86">
      <w:pPr>
        <w:pStyle w:val="Normaalweb"/>
      </w:pPr>
    </w:p>
    <w:p w:rsidR="000F3A86" w:rsidRDefault="000F3A86" w:rsidP="000F3A86">
      <w:pPr>
        <w:pStyle w:val="Normaalweb"/>
      </w:pPr>
    </w:p>
    <w:p w:rsidR="000F3A86" w:rsidRDefault="000F3A86" w:rsidP="000F3A86">
      <w:pPr>
        <w:pStyle w:val="Normaalweb"/>
      </w:pPr>
      <w:r>
        <w:t>REPLIEK MINISTER</w:t>
      </w:r>
    </w:p>
    <w:p w:rsidR="000F3A86" w:rsidRDefault="000F3A86" w:rsidP="000F3A86">
      <w:pPr>
        <w:pStyle w:val="Normaalweb"/>
      </w:pPr>
    </w:p>
    <w:p w:rsidR="000F3A86" w:rsidRDefault="000F3A86" w:rsidP="000F3A86">
      <w:pPr>
        <w:pStyle w:val="Normaalweb"/>
      </w:pPr>
      <w:r>
        <w:rPr>
          <w:rFonts w:ascii="Arial" w:hAnsi="Arial" w:cs="Arial"/>
          <w:b/>
          <w:bCs/>
          <w:sz w:val="20"/>
          <w:szCs w:val="20"/>
        </w:rPr>
        <w:t>Denis Ducarme</w:t>
      </w:r>
      <w:r>
        <w:rPr>
          <w:rFonts w:ascii="ArialMT" w:hAnsi="ArialMT"/>
          <w:sz w:val="20"/>
          <w:szCs w:val="20"/>
        </w:rPr>
        <w:t xml:space="preserve">, ministre: Madame la présidente, chers collègues, je vous remercie pour la qualité des interventions. </w:t>
      </w:r>
    </w:p>
    <w:p w:rsidR="000F3A86" w:rsidRDefault="000F3A86" w:rsidP="000F3A86">
      <w:pPr>
        <w:pStyle w:val="Normaalweb"/>
      </w:pPr>
      <w:r>
        <w:rPr>
          <w:rFonts w:ascii="ArialMT" w:hAnsi="ArialMT"/>
          <w:sz w:val="20"/>
          <w:szCs w:val="20"/>
        </w:rPr>
        <w:t xml:space="preserve">Pour ce qui concerne la </w:t>
      </w:r>
      <w:r>
        <w:rPr>
          <w:rFonts w:ascii="Arial" w:hAnsi="Arial" w:cs="Arial"/>
          <w:i/>
          <w:iCs/>
          <w:sz w:val="20"/>
          <w:szCs w:val="20"/>
        </w:rPr>
        <w:t>taskforce</w:t>
      </w:r>
      <w:r>
        <w:rPr>
          <w:rFonts w:ascii="ArialMT" w:hAnsi="ArialMT"/>
          <w:sz w:val="20"/>
          <w:szCs w:val="20"/>
        </w:rPr>
        <w:t xml:space="preserve">, je pense effectivement que c'est un bel outil. Je ne sais pas s'il est amené à se prolonger dans le temps mais l'initiative que nous avons prise de la mettre en place, avec ma collègue MmeMuylle, nous a offert des possibilités. Il ne s'agit pas simplement d'être entre politiques. Cette </w:t>
      </w:r>
      <w:r>
        <w:rPr>
          <w:rFonts w:ascii="Arial" w:hAnsi="Arial" w:cs="Arial"/>
          <w:i/>
          <w:iCs/>
          <w:sz w:val="20"/>
          <w:szCs w:val="20"/>
        </w:rPr>
        <w:t xml:space="preserve">task force </w:t>
      </w:r>
      <w:r>
        <w:rPr>
          <w:rFonts w:ascii="ArialMT" w:hAnsi="ArialMT"/>
          <w:sz w:val="20"/>
          <w:szCs w:val="20"/>
        </w:rPr>
        <w:t xml:space="preserve">s'appuie sur un groupe de consultation. Elle regroupe les CPAS, Myria, les acteurs de terrain, les banques alimentaires, etc. L'intérêt de ce groupe de consultation, c'est qu'il est vraiment connecté très régulièrement avec les acteurs sociaux et de terrain. C'est d'ailleurs ce qui nous a permis d'être efficace dans la manière dont nous avons pu déterminer les groupes vulnérables parce que c'était ça l'objet de la </w:t>
      </w:r>
      <w:r>
        <w:rPr>
          <w:rFonts w:ascii="Arial" w:hAnsi="Arial" w:cs="Arial"/>
          <w:i/>
          <w:iCs/>
          <w:sz w:val="20"/>
          <w:szCs w:val="20"/>
        </w:rPr>
        <w:t>task force</w:t>
      </w:r>
      <w:r>
        <w:rPr>
          <w:rFonts w:ascii="ArialMT" w:hAnsi="ArialMT"/>
          <w:sz w:val="20"/>
          <w:szCs w:val="20"/>
        </w:rPr>
        <w:t xml:space="preserve">. Il s'agissait de déterminer ensemble, avec les acteurs de terrain, l'augmentation des besoins des groupes vulnérables ou de nouveaux groupes vulnérables, compte tenu de la crise. Ce n'est pas un groupe d'experts qui restent entre eux. C'est heureux car la politique a de l'intérêt quand on a le contact avec le terrain. Je ne dis pas cela pour le GEES car Mme Niewenhuys est un acteur de terrain. Elle a aussi apporté, dans le cadre de la réflexion avec le GEES, un certain nombre de pistes qui ont finalement enrichi le débat. </w:t>
      </w:r>
    </w:p>
    <w:p w:rsidR="000F3A86" w:rsidRDefault="000F3A86" w:rsidP="000F3A86">
      <w:pPr>
        <w:pStyle w:val="Normaalweb"/>
      </w:pPr>
      <w:r>
        <w:rPr>
          <w:rFonts w:ascii="ArialMT" w:hAnsi="ArialMT"/>
          <w:sz w:val="20"/>
          <w:szCs w:val="20"/>
        </w:rPr>
        <w:t xml:space="preserve">Soyons clairs, cela nous permet aujourd'hui, en deux ou trois mois, d'obtenir 200 millions d'euros en matière de réponse sociale. </w:t>
      </w:r>
    </w:p>
    <w:p w:rsidR="000F3A86" w:rsidRDefault="000F3A86" w:rsidP="000F3A86">
      <w:pPr>
        <w:pStyle w:val="Normaalweb"/>
      </w:pPr>
      <w:r>
        <w:rPr>
          <w:rFonts w:ascii="ArialMT" w:hAnsi="ArialMT"/>
          <w:sz w:val="20"/>
          <w:szCs w:val="20"/>
        </w:rPr>
        <w:t xml:space="preserve">J'ignore si certains auraient, il y a encore quelques semaines, donné cher des chances de pouvoir aboutir à un engagement social de 200 millions d'euros. Nous nous sommes battus, avec ma collègue Mme Muylle, et avec les réalités que nous avons pu faire remonter au départ de ce groupe de consultation avec qui nous avons pu travailler. </w:t>
      </w:r>
    </w:p>
    <w:p w:rsidR="000F3A86" w:rsidRDefault="000F3A86" w:rsidP="000F3A86">
      <w:pPr>
        <w:pStyle w:val="Normaalweb"/>
      </w:pPr>
      <w:r>
        <w:rPr>
          <w:rFonts w:ascii="ArialMT" w:hAnsi="ArialMT"/>
          <w:sz w:val="20"/>
          <w:szCs w:val="20"/>
        </w:rPr>
        <w:t xml:space="preserve">Vous pouvez demander un rapport ou des auditions. Le temps des rapports et des auditions n'est pas encore venu. Je ne vous cache pas qu'au sein de l'Exécutif, nous sommes toujours dans l'action par rapport à cette crise sanitaire, à ses conséquences socioéconomiques. Mais c'est à vous de décider quand vous voulez organiser un suivi et enrichir le débat du travail qui a été fait. (...) </w:t>
      </w:r>
    </w:p>
    <w:p w:rsidR="000F3A86" w:rsidRDefault="000F3A86" w:rsidP="000F3A86">
      <w:pPr>
        <w:pStyle w:val="Normaalweb"/>
      </w:pPr>
      <w:r>
        <w:rPr>
          <w:rFonts w:ascii="ArialMT" w:hAnsi="ArialMT"/>
          <w:sz w:val="20"/>
          <w:szCs w:val="20"/>
        </w:rPr>
        <w:t xml:space="preserve">J'en viens aux questions concrètes qui ont été posées. Les 100 millions, qu'est-ce que c'est? Il faut lire. Je suis désolé. Il a été indiqué dans les communiqués que les 100 millions seraient de l'aide sociale complémentaire. Je l'ai dit ici. </w:t>
      </w:r>
    </w:p>
    <w:p w:rsidR="000F3A86" w:rsidRDefault="000F3A86" w:rsidP="000F3A86">
      <w:pPr>
        <w:pStyle w:val="Normaalweb"/>
      </w:pPr>
      <w:r>
        <w:rPr>
          <w:rFonts w:ascii="ArialMT" w:hAnsi="ArialMT"/>
          <w:sz w:val="20"/>
          <w:szCs w:val="20"/>
        </w:rPr>
        <w:t xml:space="preserve">Qu'est-ce que de l'aide sociale complémentaire? Elle relève davantage des Régions que du fédéral. Les 14millions que nous avions déjà produits pour soutenir les CPAS, c'était déjà de l'aide sociale complémentaire. C'est ce qui donne la possibilité aux CPAS d'avoir l'aide la plus large possible. C'est-à-dire que ce n'est pas du Fonds énergie; ce n'est pas uniquement la prise en charge des factures d'électricité et de gaz. </w:t>
      </w:r>
    </w:p>
    <w:p w:rsidR="000F3A86" w:rsidRDefault="000F3A86" w:rsidP="000F3A86">
      <w:pPr>
        <w:pStyle w:val="Normaalweb"/>
      </w:pPr>
      <w:r>
        <w:rPr>
          <w:rFonts w:ascii="ArialMT" w:hAnsi="ArialMT"/>
          <w:sz w:val="20"/>
          <w:szCs w:val="20"/>
        </w:rPr>
        <w:lastRenderedPageBreak/>
        <w:t xml:space="preserve">Avec de l'aide sociale complémentaire, on peut prendre en charge des besoins alimentaires et des soins médicaux, en particulier sur le plan local. Voilà l'intérêt de cette aide. Lors du super kern, j'avais ainsi proposé qu'elle serve de substitut à des aides trop spécifiques, dans la mesure où les besoins des ménages sont divers. J'ai bien senti, madameWillaert, que c'est ce critère que vous souligniez comme étant nécessaire. D'un point de vue technique, nous allons articuler ces différents aspects, mais je serai clair: nous avons déjà pu mobiliser 14 millions d'euros d'aide sociale complémentaire, dispositif que nous allons reproduire et répartir de la même manière. En fonction du module et la situation locale en termes de pauvreté, les CPAS seront aidés équitablement. </w:t>
      </w:r>
    </w:p>
    <w:p w:rsidR="000F3A86" w:rsidRDefault="000F3A86" w:rsidP="000F3A86">
      <w:pPr>
        <w:pStyle w:val="Normaalweb"/>
      </w:pPr>
      <w:r>
        <w:rPr>
          <w:rFonts w:ascii="ArialMT" w:hAnsi="ArialMT"/>
          <w:sz w:val="20"/>
          <w:szCs w:val="20"/>
        </w:rPr>
        <w:t xml:space="preserve">Ensuite, que signifie cette aide de 15 %? Nous avons déjà recouru à de telles procédures au cours des années précédentes. Il faut se demander comment nous allons évaluer une enveloppe. Ce sera fait sur la base d'une augmentation des besoins. À cette fin, nous allons accroître de 15 % la prise en charge fédérale des nouveaux RIS, soit à hauteur de 15millions d'euros. Pour autant, cela ne signifie pas que le recours par les CPAS à ces moyens sera limité aux frais de dossier -précisément pas. C'est l'intérêt d'une telle intervention, qui n'est pas alignée sur l'aide sociale complémentaire, mais qui permet aux CPAS -en fonction de l'augmentation de la demande - de s'organiser, de recruter et de ne pas se retrouver coincés dans une enveloppe trop restrictive. </w:t>
      </w:r>
    </w:p>
    <w:p w:rsidR="000F3A86" w:rsidRDefault="000F3A86" w:rsidP="000F3A86">
      <w:pPr>
        <w:pStyle w:val="Normaalweb"/>
      </w:pPr>
      <w:r>
        <w:rPr>
          <w:rFonts w:ascii="ArialMT" w:hAnsi="ArialMT"/>
          <w:sz w:val="20"/>
          <w:szCs w:val="20"/>
        </w:rPr>
        <w:t xml:space="preserve">Par ailleurs, ces 15% ne doivent pas être uniquement engagés en faveur des nouveaux RIS, car leur destination est plus vaste. </w:t>
      </w:r>
    </w:p>
    <w:p w:rsidR="000F3A86" w:rsidRDefault="000F3A86" w:rsidP="000F3A86">
      <w:pPr>
        <w:pStyle w:val="Normaalweb"/>
      </w:pPr>
      <w:r>
        <w:rPr>
          <w:rFonts w:ascii="ArialMT" w:hAnsi="ArialMT"/>
          <w:sz w:val="20"/>
          <w:szCs w:val="20"/>
        </w:rPr>
        <w:t xml:space="preserve">Quand je prends ce type de mesure, c'est toujours en concertation avec les fédérations de CPAS et les acteurs de terrains pour voir quelle aide est la plus pratique à utiliser. </w:t>
      </w:r>
    </w:p>
    <w:p w:rsidR="000F3A86" w:rsidRDefault="000F3A86" w:rsidP="000F3A86">
      <w:pPr>
        <w:pStyle w:val="Normaalweb"/>
      </w:pPr>
      <w:r>
        <w:rPr>
          <w:rFonts w:ascii="ArialMT" w:hAnsi="ArialMT"/>
          <w:sz w:val="20"/>
          <w:szCs w:val="20"/>
        </w:rPr>
        <w:t xml:space="preserve">S'agissant du déconfinement, nous avons une réunion demain avec les fédérations de CPAS. Dans une logique de souplesse et de concertation, nous allons procéder par étapes. </w:t>
      </w:r>
    </w:p>
    <w:p w:rsidR="00672DF0" w:rsidRDefault="000F3A86"/>
    <w:sectPr w:rsidR="00672DF0" w:rsidSect="009C68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86"/>
    <w:rsid w:val="000F3A86"/>
    <w:rsid w:val="001D7051"/>
    <w:rsid w:val="009C68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59811B"/>
  <w14:defaultImageDpi w14:val="32767"/>
  <w15:chartTrackingRefBased/>
  <w15:docId w15:val="{9D12F86C-68CE-CE4E-B5BC-0A800D76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F3A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3A86"/>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0F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2386</Words>
  <Characters>13123</Characters>
  <Application>Microsoft Office Word</Application>
  <DocSecurity>0</DocSecurity>
  <Lines>109</Lines>
  <Paragraphs>30</Paragraphs>
  <ScaleCrop>false</ScaleCrop>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1</cp:revision>
  <dcterms:created xsi:type="dcterms:W3CDTF">2020-06-24T12:36:00Z</dcterms:created>
  <dcterms:modified xsi:type="dcterms:W3CDTF">2020-06-24T12:37:00Z</dcterms:modified>
</cp:coreProperties>
</file>